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15" w:rsidRDefault="00812C15" w:rsidP="00812C15">
      <w:pPr>
        <w:rPr>
          <w:b/>
          <w:sz w:val="28"/>
          <w:szCs w:val="28"/>
        </w:rPr>
      </w:pPr>
      <w:r>
        <w:rPr>
          <w:rFonts w:hint="eastAsia"/>
          <w:b/>
          <w:sz w:val="28"/>
          <w:szCs w:val="28"/>
        </w:rPr>
        <w:t>第３章　服務規律</w:t>
      </w:r>
    </w:p>
    <w:p w:rsidR="00812C15" w:rsidRDefault="00812C15" w:rsidP="00812C15">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rPr>
              <w:t>（服務）</w:t>
            </w:r>
          </w:p>
          <w:p w:rsidR="00812C15" w:rsidRDefault="00812C15">
            <w:pPr>
              <w:ind w:left="211" w:hangingChars="100" w:hanging="211"/>
              <w:rPr>
                <w:b/>
                <w:szCs w:val="21"/>
              </w:rPr>
            </w:pPr>
            <w:r>
              <w:rPr>
                <w:rFonts w:ascii="ＭＳ 明朝" w:hAnsi="ＭＳ 明朝" w:hint="eastAsia"/>
                <w:b/>
                <w:szCs w:val="21"/>
              </w:rPr>
              <w:t xml:space="preserve">第１０条　</w:t>
            </w:r>
            <w:r>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tc>
      </w:tr>
    </w:tbl>
    <w:p w:rsidR="00812C15" w:rsidRDefault="00812C15" w:rsidP="00812C15">
      <w:pPr>
        <w:rPr>
          <w:b/>
          <w:szCs w:val="21"/>
        </w:rPr>
      </w:pPr>
    </w:p>
    <w:p w:rsidR="00812C15" w:rsidRDefault="00812C15" w:rsidP="00812C15">
      <w:pPr>
        <w:ind w:left="210" w:hanging="210"/>
        <w:rPr>
          <w:rFonts w:ascii="ＭＳ 明朝" w:hAnsi="ＭＳ 明朝"/>
          <w:szCs w:val="21"/>
        </w:rPr>
      </w:pPr>
    </w:p>
    <w:p w:rsidR="00812C15" w:rsidRDefault="00812C15" w:rsidP="00812C15">
      <w:pPr>
        <w:ind w:left="210" w:hanging="210"/>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rPr>
              <w:t>（遵守事項）</w:t>
            </w:r>
          </w:p>
          <w:p w:rsidR="00812C15" w:rsidRDefault="00812C15">
            <w:pPr>
              <w:ind w:left="210" w:hanging="210"/>
              <w:rPr>
                <w:rFonts w:ascii="ＭＳ 明朝" w:hAnsi="ＭＳ 明朝" w:hint="eastAsia"/>
                <w:b/>
                <w:szCs w:val="21"/>
              </w:rPr>
            </w:pPr>
            <w:r>
              <w:rPr>
                <w:rFonts w:ascii="ＭＳ 明朝" w:hAnsi="ＭＳ 明朝" w:hint="eastAsia"/>
                <w:b/>
                <w:szCs w:val="21"/>
              </w:rPr>
              <w:t xml:space="preserve">第１１条　</w:t>
            </w:r>
            <w:r>
              <w:rPr>
                <w:rFonts w:ascii="ＭＳ 明朝" w:hAnsi="ＭＳ 明朝" w:hint="eastAsia"/>
                <w:szCs w:val="21"/>
              </w:rPr>
              <w:t>労働者は、以下の事項を守らなければならない。</w:t>
            </w:r>
          </w:p>
          <w:p w:rsidR="00812C15" w:rsidRDefault="00812C15" w:rsidP="00856C68">
            <w:pPr>
              <w:numPr>
                <w:ilvl w:val="0"/>
                <w:numId w:val="1"/>
              </w:numPr>
              <w:rPr>
                <w:rFonts w:ascii="ＭＳ 明朝" w:hAnsi="ＭＳ 明朝" w:hint="eastAsia"/>
                <w:szCs w:val="21"/>
              </w:rPr>
            </w:pPr>
            <w:r>
              <w:rPr>
                <w:rFonts w:ascii="ＭＳ 明朝" w:hAnsi="ＭＳ 明朝" w:hint="eastAsia"/>
                <w:szCs w:val="21"/>
              </w:rPr>
              <w:t>許可なく職務以外の目的で会社の施設、物品等を使用しないこと。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職務に関連して自己の利益を図り、又は他より不当に金品を借用し、若しくは贈</w:t>
            </w:r>
          </w:p>
          <w:p w:rsidR="00812C15" w:rsidRDefault="00812C15">
            <w:pPr>
              <w:ind w:left="216" w:firstLineChars="100" w:firstLine="210"/>
              <w:rPr>
                <w:rFonts w:ascii="ＭＳ 明朝" w:hAnsi="ＭＳ 明朝" w:hint="eastAsia"/>
                <w:szCs w:val="21"/>
              </w:rPr>
            </w:pPr>
            <w:r>
              <w:rPr>
                <w:rFonts w:ascii="ＭＳ 明朝" w:hAnsi="ＭＳ 明朝" w:hint="eastAsia"/>
                <w:szCs w:val="21"/>
              </w:rPr>
              <w:t>与を受ける等不正な行為を行わないこと。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勤務中は職務に専念し、正当な理由なく勤務場所を離れないこと。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会社の名誉や信用を損なう行為をしないこと。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在職中及び退職後においても、業務上知り得た会社、取引先等の機密を漏洩しな</w:t>
            </w:r>
          </w:p>
          <w:p w:rsidR="00812C15" w:rsidRDefault="00812C15">
            <w:pPr>
              <w:ind w:left="216" w:firstLineChars="100" w:firstLine="210"/>
              <w:rPr>
                <w:rFonts w:ascii="ＭＳ 明朝" w:hAnsi="ＭＳ 明朝" w:hint="eastAsia"/>
                <w:szCs w:val="21"/>
              </w:rPr>
            </w:pPr>
            <w:r>
              <w:rPr>
                <w:rFonts w:ascii="ＭＳ 明朝" w:hAnsi="ＭＳ 明朝" w:hint="eastAsia"/>
                <w:szCs w:val="21"/>
              </w:rPr>
              <w:t>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許可なく他の会社等の業務に従事しないこと。</w:t>
            </w:r>
          </w:p>
          <w:p w:rsidR="00812C15" w:rsidRDefault="00812C15" w:rsidP="00856C68">
            <w:pPr>
              <w:pStyle w:val="a3"/>
              <w:numPr>
                <w:ilvl w:val="0"/>
                <w:numId w:val="1"/>
              </w:numPr>
              <w:ind w:leftChars="0"/>
              <w:rPr>
                <w:rFonts w:ascii="ＭＳ 明朝" w:hAnsi="ＭＳ 明朝" w:hint="eastAsia"/>
                <w:szCs w:val="21"/>
              </w:rPr>
            </w:pPr>
            <w:r>
              <w:rPr>
                <w:rFonts w:ascii="ＭＳ 明朝" w:hAnsi="ＭＳ 明朝" w:hint="eastAsia"/>
                <w:szCs w:val="21"/>
              </w:rPr>
              <w:t>酒気を帯びて就業しないこと。</w:t>
            </w:r>
          </w:p>
          <w:p w:rsidR="00812C15" w:rsidRDefault="00812C15" w:rsidP="00856C68">
            <w:pPr>
              <w:pStyle w:val="a3"/>
              <w:numPr>
                <w:ilvl w:val="0"/>
                <w:numId w:val="1"/>
              </w:numPr>
              <w:ind w:leftChars="0"/>
              <w:rPr>
                <w:rFonts w:ascii="ＭＳ 明朝" w:hAnsi="ＭＳ 明朝"/>
                <w:szCs w:val="21"/>
              </w:rPr>
            </w:pPr>
            <w:r>
              <w:rPr>
                <w:rFonts w:ascii="ＭＳ 明朝" w:hAnsi="ＭＳ 明朝" w:hint="eastAsia"/>
                <w:szCs w:val="21"/>
              </w:rPr>
              <w:t>その他労働者としてふさわしくない行為をしないこと。</w:t>
            </w:r>
          </w:p>
        </w:tc>
      </w:tr>
    </w:tbl>
    <w:p w:rsidR="00812C15" w:rsidRDefault="00812C15" w:rsidP="00812C15">
      <w:pPr>
        <w:rPr>
          <w:rFonts w:ascii="ＭＳ 明朝" w:hAnsi="ＭＳ 明朝" w:hint="eastAsia"/>
          <w:b/>
          <w:szCs w:val="21"/>
        </w:rPr>
      </w:pPr>
    </w:p>
    <w:p w:rsidR="00812C15" w:rsidRDefault="00812C15" w:rsidP="00812C15">
      <w:pPr>
        <w:rPr>
          <w:rFonts w:hint="eastAsia"/>
          <w:b/>
          <w:szCs w:val="21"/>
        </w:rPr>
      </w:pPr>
      <w:r>
        <w:rPr>
          <w:rFonts w:hint="eastAsia"/>
          <w:b/>
          <w:szCs w:val="21"/>
        </w:rPr>
        <w:t>【第１０条　服務】</w:t>
      </w:r>
    </w:p>
    <w:p w:rsidR="00812C15" w:rsidRDefault="00812C15" w:rsidP="00812C15">
      <w:pPr>
        <w:rPr>
          <w:rFonts w:ascii="ＭＳ 明朝" w:hAnsi="ＭＳ 明朝"/>
          <w:b/>
          <w:szCs w:val="21"/>
        </w:rPr>
      </w:pPr>
      <w:r>
        <w:rPr>
          <w:rFonts w:ascii="ＭＳ 明朝" w:hAnsi="ＭＳ 明朝" w:hint="eastAsia"/>
          <w:b/>
          <w:szCs w:val="21"/>
        </w:rPr>
        <w:t xml:space="preserve">【第１１条　遵守事項】　</w:t>
      </w: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 xml:space="preserve">　服務規律及び遵守事項については、就業規則に必ず定めなければならない事項ではありませんが、職場の秩序維持に大きな役割を果たすことから、会社にとって労働者に遵守させたい事項を定めてください。</w:t>
      </w:r>
    </w:p>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rPr>
              <w:t>（セクシュアルハラスメントの禁止）</w:t>
            </w:r>
          </w:p>
          <w:p w:rsidR="00812C15" w:rsidRDefault="00812C15">
            <w:pPr>
              <w:ind w:left="211" w:hangingChars="100" w:hanging="211"/>
              <w:rPr>
                <w:rFonts w:ascii="ＭＳ 明朝" w:hAnsi="ＭＳ 明朝"/>
                <w:szCs w:val="21"/>
              </w:rPr>
            </w:pPr>
            <w:r>
              <w:rPr>
                <w:rFonts w:ascii="ＭＳ 明朝" w:hAnsi="ＭＳ 明朝" w:hint="eastAsia"/>
                <w:b/>
                <w:szCs w:val="21"/>
              </w:rPr>
              <w:t xml:space="preserve">第１２条　</w:t>
            </w:r>
            <w:r>
              <w:rPr>
                <w:rFonts w:ascii="ＭＳ 明朝" w:hAnsi="ＭＳ 明朝" w:hint="eastAsia"/>
                <w:szCs w:val="21"/>
              </w:rPr>
              <w:t>性的言動により、他の労働者に不利益や不快感を与えたり、就業環境を害するようなことをしてはならない。</w:t>
            </w:r>
          </w:p>
        </w:tc>
      </w:tr>
    </w:tbl>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b/>
          <w:szCs w:val="21"/>
        </w:rPr>
      </w:pPr>
      <w:r>
        <w:rPr>
          <w:rFonts w:ascii="ＭＳ 明朝" w:hAnsi="ＭＳ 明朝" w:hint="eastAsia"/>
          <w:b/>
          <w:szCs w:val="21"/>
        </w:rPr>
        <w:t>【第１２条　セクシュアルハラスメントの禁止】</w:t>
      </w: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 xml:space="preserve">　職場におけるセクシュアルハラスメントを防止するため、事業主は、雇用管理上必要な</w:t>
      </w:r>
      <w:r>
        <w:rPr>
          <w:rFonts w:ascii="ＭＳ 明朝" w:hAnsi="ＭＳ 明朝" w:hint="eastAsia"/>
          <w:szCs w:val="21"/>
        </w:rPr>
        <w:lastRenderedPageBreak/>
        <w:t>措置を講じなければならないこととされています（</w:t>
      </w:r>
      <w:r>
        <w:rPr>
          <w:rFonts w:ascii="ＭＳ 明朝" w:hAnsi="ＭＳ 明朝" w:hint="eastAsia"/>
          <w:color w:val="000000"/>
          <w:szCs w:val="21"/>
        </w:rPr>
        <w:t>均等法第１１</w:t>
      </w:r>
      <w:r>
        <w:rPr>
          <w:rFonts w:ascii="ＭＳ 明朝" w:hAnsi="ＭＳ 明朝" w:hint="eastAsia"/>
          <w:szCs w:val="21"/>
        </w:rPr>
        <w:t>条）。</w:t>
      </w:r>
    </w:p>
    <w:p w:rsidR="00812C15" w:rsidRDefault="00812C15" w:rsidP="00812C15">
      <w:pPr>
        <w:rPr>
          <w:rFonts w:hint="eastAsia"/>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812C15" w:rsidTr="00812C15">
        <w:tc>
          <w:tcPr>
            <w:tcW w:w="8702"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szCs w:val="21"/>
              </w:rPr>
            </w:pPr>
            <w:r>
              <w:rPr>
                <w:rFonts w:ascii="ＭＳ 明朝" w:hAnsi="ＭＳ 明朝" w:hint="eastAsia"/>
                <w:szCs w:val="21"/>
              </w:rPr>
              <w:t>（職場のパワーハラスメントの禁止）</w:t>
            </w:r>
          </w:p>
          <w:p w:rsidR="00812C15" w:rsidRDefault="00812C15">
            <w:pPr>
              <w:ind w:left="210" w:hangingChars="100" w:hanging="210"/>
              <w:rPr>
                <w:rFonts w:ascii="ＭＳ 明朝" w:hAnsi="ＭＳ 明朝"/>
                <w:szCs w:val="21"/>
              </w:rPr>
            </w:pPr>
            <w:r>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tc>
      </w:tr>
    </w:tbl>
    <w:p w:rsidR="00812C15" w:rsidRDefault="00812C15" w:rsidP="00812C15">
      <w:pPr>
        <w:ind w:left="210" w:hangingChars="100" w:hanging="210"/>
        <w:rPr>
          <w:rFonts w:ascii="ＭＳ 明朝" w:hAnsi="ＭＳ 明朝"/>
          <w:szCs w:val="21"/>
        </w:rPr>
      </w:pP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【第１３条　職場のパワーハラスメントの禁止】</w:t>
      </w:r>
    </w:p>
    <w:p w:rsidR="00812C15" w:rsidRDefault="00812C15" w:rsidP="00812C15">
      <w:pPr>
        <w:ind w:leftChars="100" w:left="210"/>
        <w:rPr>
          <w:rFonts w:hint="eastAsia"/>
          <w:szCs w:val="21"/>
        </w:rPr>
      </w:pPr>
      <w:r>
        <w:rPr>
          <w:rFonts w:hint="eastAsia"/>
          <w:szCs w:val="21"/>
        </w:rPr>
        <w:t xml:space="preserve">　近年社会問題化している職場のパワーハラスメントについても、その防止・解決に向けて取り組むことが求められています。組織のトップが職場のパワーハラスメントをなくしていく態度を明確にすることが重要です（「職場のパワーハラスメントの予防・解決に向けた提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12C15" w:rsidTr="00812C15">
        <w:tc>
          <w:tcPr>
            <w:tcW w:w="8702" w:type="dxa"/>
            <w:tcBorders>
              <w:top w:val="dotDash" w:sz="4" w:space="0" w:color="auto"/>
              <w:left w:val="dotDash" w:sz="4" w:space="0" w:color="auto"/>
              <w:bottom w:val="dotDash" w:sz="4" w:space="0" w:color="auto"/>
              <w:right w:val="dotDash" w:sz="4" w:space="0" w:color="auto"/>
            </w:tcBorders>
          </w:tcPr>
          <w:p w:rsidR="00812C15" w:rsidRDefault="00812C15">
            <w:pPr>
              <w:rPr>
                <w:rFonts w:ascii="ＭＳ 明朝" w:hAnsi="ＭＳ 明朝"/>
                <w:szCs w:val="21"/>
              </w:rPr>
            </w:pPr>
            <w:r>
              <w:rPr>
                <w:rFonts w:ascii="ＭＳ 明朝" w:hAnsi="ＭＳ 明朝" w:hint="eastAsia"/>
                <w:szCs w:val="21"/>
              </w:rPr>
              <w:t>【参考】</w:t>
            </w:r>
          </w:p>
          <w:p w:rsidR="00812C15" w:rsidRDefault="00812C15">
            <w:pPr>
              <w:rPr>
                <w:rFonts w:ascii="ＭＳ 明朝" w:hAnsi="ＭＳ 明朝" w:hint="eastAsia"/>
                <w:szCs w:val="21"/>
              </w:rPr>
            </w:pPr>
            <w:r>
              <w:rPr>
                <w:rFonts w:ascii="ＭＳ 明朝" w:hAnsi="ＭＳ 明朝" w:hint="eastAsia"/>
                <w:szCs w:val="21"/>
              </w:rPr>
              <w:t xml:space="preserve">　平成24年３月に厚生労働省の「職場のいじめ・嫌がらせ問題に関する円卓会議」が取りまとめた上記提言では、職場のパワーハラスメントの概念を以下のように整理しています。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812C15">
              <w:tc>
                <w:tcPr>
                  <w:tcW w:w="8471"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szCs w:val="21"/>
                    </w:rPr>
                  </w:pPr>
                  <w:r>
                    <w:rPr>
                      <w:rFonts w:ascii="ＭＳ 明朝" w:hAnsi="ＭＳ 明朝" w:hint="eastAsia"/>
                      <w:szCs w:val="21"/>
                    </w:rPr>
                    <w:t>職場のパワーハラスメントとは、同じ職場で働く者に対して、職務上の地位や人間関係などの職場内の優位性を背景に、業務の適正な範囲を超えて、精神的・身体的苦痛を与える又は職場環境を悪化させる行為をいう。</w:t>
                  </w:r>
                </w:p>
              </w:tc>
            </w:tr>
          </w:tbl>
          <w:p w:rsidR="00812C15" w:rsidRDefault="00812C15">
            <w:pPr>
              <w:ind w:firstLineChars="100" w:firstLine="210"/>
              <w:rPr>
                <w:rFonts w:ascii="ＭＳ 明朝" w:hAnsi="ＭＳ 明朝" w:hint="eastAsia"/>
                <w:szCs w:val="21"/>
              </w:rPr>
            </w:pPr>
            <w:r>
              <w:rPr>
                <w:rFonts w:ascii="ＭＳ 明朝" w:hAnsi="ＭＳ 明朝" w:hint="eastAsia"/>
                <w:szCs w:val="21"/>
              </w:rPr>
              <w:t>パワーハラスメントという言葉は、上司から部下へのいじめ・嫌がらせを指して使われる場合が多いですが、先輩・後輩間や同僚間、さらには部下から上司に対して行われるものもあり、こうした行為も職場のパワーハラスメントに含める必要があることから、上記では「職場内の優位性」を「職務上の地位」に限らず、人間関係や専門知識などの様々な優位性が含まれるものと整理しています。</w:t>
            </w:r>
          </w:p>
          <w:p w:rsidR="00812C15" w:rsidRDefault="00812C15">
            <w:pPr>
              <w:ind w:firstLineChars="100" w:firstLine="210"/>
              <w:rPr>
                <w:rFonts w:ascii="ＭＳ 明朝" w:hAnsi="ＭＳ 明朝" w:hint="eastAsia"/>
                <w:szCs w:val="21"/>
              </w:rPr>
            </w:pPr>
            <w:r>
              <w:rPr>
                <w:rFonts w:ascii="ＭＳ 明朝" w:hAnsi="ＭＳ 明朝" w:hint="eastAsia"/>
                <w:szCs w:val="21"/>
              </w:rPr>
              <w:t>また、個人の受け取り方によっては、業務上必要な指示や注意・指導を不満に感じたりする場合でも、これらが業務上の適正な範囲で行われている場合には、パワーハラスメントには当たらないと考えるべきでしょう。</w:t>
            </w:r>
          </w:p>
          <w:p w:rsidR="00812C15" w:rsidRDefault="00812C15">
            <w:pPr>
              <w:ind w:firstLineChars="100" w:firstLine="210"/>
              <w:rPr>
                <w:rFonts w:ascii="ＭＳ 明朝" w:hAnsi="ＭＳ 明朝" w:hint="eastAsia"/>
                <w:szCs w:val="21"/>
              </w:rPr>
            </w:pPr>
            <w:r>
              <w:rPr>
                <w:rFonts w:ascii="ＭＳ 明朝" w:hAnsi="ＭＳ 明朝" w:hint="eastAsia"/>
                <w:szCs w:val="21"/>
              </w:rPr>
              <w:t>さらに、提言ではパワーハラスメントの行為類型として、以下のとおり示しています（典型的なものであり、すべてを網羅するものではないことに留意して下さい）。</w:t>
            </w:r>
          </w:p>
          <w:p w:rsidR="00812C15" w:rsidRDefault="00812C15">
            <w:pPr>
              <w:spacing w:line="204" w:lineRule="auto"/>
              <w:ind w:leftChars="102" w:left="462" w:hangingChars="118" w:hanging="248"/>
              <w:rPr>
                <w:rFonts w:hAnsi="メイリオ" w:hint="eastAsia"/>
                <w:szCs w:val="21"/>
              </w:rPr>
            </w:pPr>
            <w:r>
              <w:rPr>
                <w:rFonts w:hAnsi="メイリオ" w:hint="eastAsia"/>
                <w:szCs w:val="21"/>
              </w:rPr>
              <w:t>①暴行・傷害（身体的な攻撃）</w:t>
            </w:r>
          </w:p>
          <w:p w:rsidR="00812C15" w:rsidRDefault="00812C15">
            <w:pPr>
              <w:spacing w:line="204" w:lineRule="auto"/>
              <w:ind w:leftChars="102" w:left="462" w:hangingChars="118" w:hanging="248"/>
              <w:rPr>
                <w:rFonts w:hAnsi="メイリオ"/>
                <w:szCs w:val="21"/>
              </w:rPr>
            </w:pPr>
            <w:r>
              <w:rPr>
                <w:rFonts w:hAnsi="メイリオ" w:hint="eastAsia"/>
                <w:szCs w:val="21"/>
              </w:rPr>
              <w:t>②脅迫・名誉毀損・侮辱・ひどい暴言（精神的な攻撃）</w:t>
            </w:r>
          </w:p>
          <w:p w:rsidR="00812C15" w:rsidRDefault="00812C15">
            <w:pPr>
              <w:spacing w:line="204" w:lineRule="auto"/>
              <w:ind w:leftChars="102" w:left="462" w:hangingChars="118" w:hanging="248"/>
              <w:rPr>
                <w:rFonts w:hAnsi="メイリオ"/>
                <w:szCs w:val="21"/>
              </w:rPr>
            </w:pPr>
            <w:r>
              <w:rPr>
                <w:rFonts w:hAnsi="メイリオ" w:hint="eastAsia"/>
                <w:szCs w:val="21"/>
              </w:rPr>
              <w:t>③隔離・仲間外し・無視（人間関係からの切り離し）</w:t>
            </w:r>
          </w:p>
          <w:p w:rsidR="00812C15" w:rsidRDefault="00812C15">
            <w:pPr>
              <w:spacing w:line="204" w:lineRule="auto"/>
              <w:ind w:leftChars="102" w:left="462" w:hangingChars="118" w:hanging="248"/>
              <w:rPr>
                <w:rFonts w:hAnsi="メイリオ"/>
                <w:szCs w:val="21"/>
              </w:rPr>
            </w:pPr>
            <w:r>
              <w:rPr>
                <w:rFonts w:hAnsi="メイリオ" w:hint="eastAsia"/>
                <w:szCs w:val="21"/>
              </w:rPr>
              <w:t>④業務上明らかに不要なことや遂行不可能なことの強制、仕事の妨害（過大な要求）</w:t>
            </w:r>
          </w:p>
          <w:p w:rsidR="00812C15" w:rsidRDefault="00812C15">
            <w:pPr>
              <w:spacing w:line="204" w:lineRule="auto"/>
              <w:ind w:leftChars="102" w:left="462" w:hangingChars="118" w:hanging="248"/>
              <w:rPr>
                <w:rFonts w:hAnsi="メイリオ"/>
                <w:szCs w:val="21"/>
              </w:rPr>
            </w:pPr>
            <w:r>
              <w:rPr>
                <w:rFonts w:hAnsi="メイリオ" w:hint="eastAsia"/>
                <w:szCs w:val="21"/>
              </w:rPr>
              <w:t>⑤業務上の合理性なく、能力や経験とかけ離れた程度の低い仕事を命じることや仕事を与えないこと（過小な要求）</w:t>
            </w:r>
          </w:p>
          <w:p w:rsidR="00812C15" w:rsidRDefault="00812C15">
            <w:pPr>
              <w:spacing w:line="204" w:lineRule="auto"/>
              <w:ind w:leftChars="102" w:left="462" w:hangingChars="118" w:hanging="248"/>
              <w:rPr>
                <w:rFonts w:hAnsi="メイリオ"/>
                <w:szCs w:val="21"/>
              </w:rPr>
            </w:pPr>
            <w:r>
              <w:rPr>
                <w:rFonts w:hAnsi="メイリオ" w:hint="eastAsia"/>
                <w:szCs w:val="21"/>
              </w:rPr>
              <w:t>⑥私的なことに過度に立ち入ること（個の侵害）</w:t>
            </w:r>
          </w:p>
          <w:p w:rsidR="00812C15" w:rsidRDefault="00812C15">
            <w:pPr>
              <w:spacing w:line="204" w:lineRule="auto"/>
              <w:ind w:left="210" w:hangingChars="100" w:hanging="210"/>
              <w:jc w:val="left"/>
              <w:rPr>
                <w:rFonts w:ascii="ＭＳ 明朝" w:hAnsi="ＭＳ 明朝"/>
                <w:szCs w:val="21"/>
              </w:rPr>
            </w:pPr>
          </w:p>
          <w:p w:rsidR="00812C15" w:rsidRDefault="00812C15">
            <w:pPr>
              <w:spacing w:line="204" w:lineRule="auto"/>
              <w:ind w:leftChars="100" w:left="210" w:firstLineChars="100" w:firstLine="210"/>
              <w:rPr>
                <w:rFonts w:hAnsi="メイリオ" w:hint="eastAsia"/>
                <w:szCs w:val="21"/>
              </w:rPr>
            </w:pPr>
            <w:r>
              <w:rPr>
                <w:rFonts w:hAnsi="メイリオ" w:hint="eastAsia"/>
                <w:szCs w:val="21"/>
              </w:rPr>
              <w:lastRenderedPageBreak/>
              <w:t>①については、業務の遂行に関係するものであっても、「業務の適正な範囲」に含まれるとすることはできません。</w:t>
            </w:r>
          </w:p>
          <w:p w:rsidR="00812C15" w:rsidRDefault="00812C15">
            <w:pPr>
              <w:spacing w:line="204" w:lineRule="auto"/>
              <w:ind w:leftChars="100" w:left="210" w:firstLineChars="100" w:firstLine="210"/>
              <w:rPr>
                <w:rFonts w:hAnsi="メイリオ"/>
                <w:szCs w:val="21"/>
              </w:rPr>
            </w:pPr>
            <w:r>
              <w:rPr>
                <w:rFonts w:hAnsi="メイリオ" w:hint="eastAsia"/>
                <w:szCs w:val="21"/>
              </w:rPr>
              <w:t>②と③については、業務の遂行に必要な行為であるとは通常想定できないことから、原則として「業務の適正な範囲」を超えるものと考えられます。</w:t>
            </w:r>
          </w:p>
          <w:p w:rsidR="00812C15" w:rsidRDefault="00812C15">
            <w:pPr>
              <w:spacing w:line="204" w:lineRule="auto"/>
              <w:ind w:leftChars="100" w:left="210" w:firstLineChars="100" w:firstLine="210"/>
              <w:jc w:val="left"/>
              <w:rPr>
                <w:rFonts w:ascii="ＭＳ 明朝" w:hAnsi="ＭＳ 明朝"/>
                <w:sz w:val="24"/>
              </w:rPr>
            </w:pPr>
            <w:r>
              <w:rPr>
                <w:rFonts w:hAnsi="メイリオ" w:hint="eastAsia"/>
                <w:szCs w:val="21"/>
              </w:rPr>
              <w:t>④から⑥までについては、業務上の適正な指導との線引きが必ずしも容易でない場合があると考えられます。こうした行為について何が「業務の適正な範囲を超える」かについては、業種や企業文化の影響を受け、また、具体的な判断については、行為が行われた状況や行為が継続的であるかどうかによっても左右される部分もあると考えられるので、各企業・職場で認識をそろえ、その範囲を明確にする取組を行うことが望まれます。</w:t>
            </w:r>
          </w:p>
        </w:tc>
      </w:tr>
    </w:tbl>
    <w:p w:rsidR="00812C15" w:rsidRDefault="00812C15" w:rsidP="00812C15">
      <w:pPr>
        <w:rPr>
          <w:rFonts w:ascii="ＭＳ 明朝" w:hAnsi="ＭＳ 明朝"/>
          <w:szCs w:val="21"/>
        </w:rPr>
      </w:pPr>
    </w:p>
    <w:p w:rsidR="00812C15" w:rsidRDefault="00812C15" w:rsidP="00812C15">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rPr>
              <w:t>（個人情報保護）</w:t>
            </w:r>
          </w:p>
          <w:p w:rsidR="00812C15" w:rsidRDefault="00812C15">
            <w:pPr>
              <w:ind w:left="210" w:hanging="210"/>
              <w:rPr>
                <w:rFonts w:ascii="ＭＳ 明朝" w:hAnsi="ＭＳ 明朝" w:hint="eastAsia"/>
                <w:szCs w:val="21"/>
              </w:rPr>
            </w:pPr>
            <w:r>
              <w:rPr>
                <w:rFonts w:ascii="ＭＳ 明朝" w:hAnsi="ＭＳ 明朝" w:hint="eastAsia"/>
                <w:b/>
                <w:szCs w:val="21"/>
              </w:rPr>
              <w:t xml:space="preserve">第１４条　</w:t>
            </w:r>
            <w:r>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812C15" w:rsidRDefault="00812C15">
            <w:pPr>
              <w:ind w:left="210" w:hangingChars="100" w:hanging="210"/>
              <w:rPr>
                <w:rFonts w:ascii="ＭＳ 明朝" w:hAnsi="ＭＳ 明朝"/>
                <w:szCs w:val="21"/>
              </w:rPr>
            </w:pPr>
            <w:r>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tc>
      </w:tr>
    </w:tbl>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b/>
          <w:szCs w:val="21"/>
        </w:rPr>
      </w:pPr>
      <w:r>
        <w:rPr>
          <w:rFonts w:ascii="ＭＳ 明朝" w:hAnsi="ＭＳ 明朝" w:hint="eastAsia"/>
          <w:b/>
          <w:szCs w:val="21"/>
        </w:rPr>
        <w:t>【第１４条　個人情報保護】</w:t>
      </w: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 xml:space="preserve">　平成１７年４月からの個人情報の保護に関する法律（平成１５年法律第５７号）の全面施行により、使用者に個人情報の適正な管理に関する対策が義務付けられています。</w:t>
      </w:r>
    </w:p>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rPr>
          <w:trHeight w:val="1007"/>
        </w:trPr>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rPr>
              <w:t>（始業及び終業時刻の記録）</w:t>
            </w:r>
          </w:p>
          <w:p w:rsidR="00812C15" w:rsidRDefault="00812C15">
            <w:pPr>
              <w:ind w:left="210" w:hanging="210"/>
              <w:rPr>
                <w:rFonts w:ascii="ＭＳ 明朝" w:hAnsi="ＭＳ 明朝"/>
                <w:szCs w:val="21"/>
              </w:rPr>
            </w:pPr>
            <w:r>
              <w:rPr>
                <w:rFonts w:ascii="ＭＳ 明朝" w:hAnsi="ＭＳ 明朝" w:hint="eastAsia"/>
                <w:b/>
                <w:szCs w:val="21"/>
              </w:rPr>
              <w:t xml:space="preserve">第１５条　</w:t>
            </w:r>
            <w:r>
              <w:rPr>
                <w:rFonts w:ascii="ＭＳ 明朝" w:hAnsi="ＭＳ 明朝" w:hint="eastAsia"/>
                <w:szCs w:val="21"/>
              </w:rPr>
              <w:t>労働者は、始業及び終業時にタイムカードを自ら打刻し、始業及び終業の時刻を記録しなければならない。</w:t>
            </w:r>
          </w:p>
        </w:tc>
      </w:tr>
    </w:tbl>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b/>
          <w:szCs w:val="21"/>
        </w:rPr>
      </w:pPr>
      <w:r>
        <w:rPr>
          <w:rFonts w:ascii="ＭＳ 明朝" w:hAnsi="ＭＳ 明朝" w:hint="eastAsia"/>
          <w:b/>
          <w:szCs w:val="21"/>
        </w:rPr>
        <w:t>【第１５条　始業及び終業時刻の記録】</w:t>
      </w: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 xml:space="preserve">　労働時間の管理については、「労働時間の適正な把握のために使用者が講ずべき措置に関する基準」（平成１３年４月６日付け基発第３３９号）で、使用者が講ずべき措置が具体的に示されています。使用者は、この基準を遵守し、労働時間を適正に把握する等適切な時間管理を行っ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rPr>
          <w:trHeight w:val="9488"/>
        </w:trPr>
        <w:tc>
          <w:tcPr>
            <w:tcW w:w="8458" w:type="dxa"/>
            <w:tcBorders>
              <w:top w:val="dotDash" w:sz="4" w:space="0" w:color="auto"/>
              <w:left w:val="dotDash" w:sz="4" w:space="0" w:color="auto"/>
              <w:bottom w:val="dotDash" w:sz="4" w:space="0" w:color="auto"/>
              <w:right w:val="dotDash" w:sz="4" w:space="0" w:color="auto"/>
            </w:tcBorders>
            <w:hideMark/>
          </w:tcPr>
          <w:p w:rsidR="00812C15" w:rsidRDefault="00812C15">
            <w:pPr>
              <w:rPr>
                <w:rFonts w:ascii="ＭＳ 明朝" w:hAnsi="ＭＳ 明朝"/>
                <w:szCs w:val="21"/>
              </w:rPr>
            </w:pPr>
            <w:r>
              <w:rPr>
                <w:rFonts w:ascii="ＭＳ 明朝" w:hAnsi="ＭＳ 明朝" w:hint="eastAsia"/>
                <w:szCs w:val="21"/>
              </w:rPr>
              <w:lastRenderedPageBreak/>
              <w:t>（参考）</w:t>
            </w:r>
          </w:p>
          <w:p w:rsidR="00812C15" w:rsidRDefault="00812C15">
            <w:pPr>
              <w:ind w:firstLineChars="100" w:firstLine="210"/>
              <w:jc w:val="left"/>
              <w:rPr>
                <w:rFonts w:ascii="ＭＳ 明朝" w:hAnsi="ＭＳ 明朝" w:hint="eastAsia"/>
                <w:szCs w:val="21"/>
              </w:rPr>
            </w:pPr>
            <w:r>
              <w:rPr>
                <w:rFonts w:ascii="ＭＳ 明朝" w:hAnsi="ＭＳ 明朝" w:hint="eastAsia"/>
                <w:szCs w:val="21"/>
              </w:rPr>
              <w:t>「労働時間の適正な把握のために使用者が講ずべき措置に関する基準（抜粋）」</w:t>
            </w:r>
          </w:p>
          <w:p w:rsidR="00812C15" w:rsidRDefault="00812C15" w:rsidP="00856C68">
            <w:pPr>
              <w:numPr>
                <w:ilvl w:val="0"/>
                <w:numId w:val="2"/>
              </w:numPr>
              <w:rPr>
                <w:rFonts w:ascii="ＭＳ 明朝" w:hAnsi="ＭＳ 明朝" w:hint="eastAsia"/>
                <w:szCs w:val="21"/>
              </w:rPr>
            </w:pPr>
            <w:r>
              <w:rPr>
                <w:rFonts w:ascii="ＭＳ 明朝" w:hAnsi="ＭＳ 明朝" w:hint="eastAsia"/>
                <w:szCs w:val="21"/>
              </w:rPr>
              <w:t>始業・終業時刻の確認及び記録</w:t>
            </w:r>
          </w:p>
          <w:p w:rsidR="00812C15" w:rsidRDefault="00812C15">
            <w:pPr>
              <w:ind w:leftChars="200" w:left="420" w:firstLineChars="100" w:firstLine="210"/>
              <w:rPr>
                <w:rFonts w:ascii="ＭＳ 明朝" w:hAnsi="ＭＳ 明朝" w:hint="eastAsia"/>
                <w:szCs w:val="21"/>
              </w:rPr>
            </w:pPr>
            <w:r>
              <w:rPr>
                <w:rFonts w:ascii="ＭＳ 明朝" w:hAnsi="ＭＳ 明朝" w:hint="eastAsia"/>
                <w:szCs w:val="21"/>
              </w:rPr>
              <w:t>使用者は、労働時間を適正に管理するため、労働者の労働日ごとの始業・終業時刻を確認し、これを記録すること。</w:t>
            </w:r>
          </w:p>
          <w:p w:rsidR="00812C15" w:rsidRDefault="00812C15" w:rsidP="00856C68">
            <w:pPr>
              <w:numPr>
                <w:ilvl w:val="0"/>
                <w:numId w:val="2"/>
              </w:numPr>
              <w:rPr>
                <w:rFonts w:ascii="ＭＳ 明朝" w:hAnsi="ＭＳ 明朝" w:hint="eastAsia"/>
                <w:szCs w:val="21"/>
              </w:rPr>
            </w:pPr>
            <w:r>
              <w:rPr>
                <w:rFonts w:ascii="ＭＳ 明朝" w:hAnsi="ＭＳ 明朝" w:hint="eastAsia"/>
                <w:szCs w:val="21"/>
              </w:rPr>
              <w:t>始業・終業時刻の確認及び記録の原則的な方法</w:t>
            </w:r>
          </w:p>
          <w:p w:rsidR="00812C15" w:rsidRDefault="00812C15">
            <w:pPr>
              <w:ind w:leftChars="200" w:left="420" w:firstLineChars="100" w:firstLine="210"/>
              <w:rPr>
                <w:rFonts w:ascii="ＭＳ 明朝" w:hAnsi="ＭＳ 明朝" w:hint="eastAsia"/>
                <w:szCs w:val="21"/>
              </w:rPr>
            </w:pPr>
            <w:r>
              <w:rPr>
                <w:rFonts w:ascii="ＭＳ 明朝" w:hAnsi="ＭＳ 明朝" w:hint="eastAsia"/>
                <w:szCs w:val="21"/>
              </w:rPr>
              <w:t>使用者が始業・終業時刻を確認し、記録する方法としては、原則として次のいずれかの方法によること。</w:t>
            </w:r>
          </w:p>
          <w:p w:rsidR="00812C15" w:rsidRDefault="00812C15" w:rsidP="00856C68">
            <w:pPr>
              <w:numPr>
                <w:ilvl w:val="0"/>
                <w:numId w:val="3"/>
              </w:numPr>
              <w:rPr>
                <w:rFonts w:ascii="ＭＳ 明朝" w:hAnsi="ＭＳ 明朝" w:hint="eastAsia"/>
                <w:szCs w:val="21"/>
              </w:rPr>
            </w:pPr>
            <w:r>
              <w:rPr>
                <w:rFonts w:ascii="ＭＳ 明朝" w:hAnsi="ＭＳ 明朝" w:hint="eastAsia"/>
                <w:szCs w:val="21"/>
              </w:rPr>
              <w:t>使用者が、自ら現認することによりこれを確認し、記録すること。</w:t>
            </w:r>
          </w:p>
          <w:p w:rsidR="00812C15" w:rsidRDefault="00812C15" w:rsidP="00856C68">
            <w:pPr>
              <w:numPr>
                <w:ilvl w:val="0"/>
                <w:numId w:val="3"/>
              </w:numPr>
              <w:rPr>
                <w:rFonts w:ascii="ＭＳ 明朝" w:hAnsi="ＭＳ 明朝" w:hint="eastAsia"/>
                <w:szCs w:val="21"/>
              </w:rPr>
            </w:pPr>
            <w:r>
              <w:rPr>
                <w:rFonts w:ascii="ＭＳ 明朝" w:hAnsi="ＭＳ 明朝" w:hint="eastAsia"/>
                <w:szCs w:val="21"/>
              </w:rPr>
              <w:t>タイムカード、ＩＣカード等の客観的な記録を基礎として確認し、記録す</w:t>
            </w:r>
          </w:p>
          <w:p w:rsidR="00812C15" w:rsidRDefault="00812C15">
            <w:pPr>
              <w:ind w:firstLineChars="600" w:firstLine="1260"/>
              <w:rPr>
                <w:rFonts w:ascii="ＭＳ 明朝" w:hAnsi="ＭＳ 明朝" w:hint="eastAsia"/>
                <w:szCs w:val="21"/>
              </w:rPr>
            </w:pPr>
            <w:r>
              <w:rPr>
                <w:rFonts w:ascii="ＭＳ 明朝" w:hAnsi="ＭＳ 明朝" w:hint="eastAsia"/>
                <w:szCs w:val="21"/>
              </w:rPr>
              <w:t>ること。</w:t>
            </w:r>
          </w:p>
          <w:p w:rsidR="00812C15" w:rsidRDefault="00812C15" w:rsidP="00856C68">
            <w:pPr>
              <w:numPr>
                <w:ilvl w:val="0"/>
                <w:numId w:val="2"/>
              </w:numPr>
              <w:rPr>
                <w:rFonts w:ascii="ＭＳ 明朝" w:hAnsi="ＭＳ 明朝" w:hint="eastAsia"/>
                <w:szCs w:val="21"/>
              </w:rPr>
            </w:pPr>
            <w:r>
              <w:rPr>
                <w:rFonts w:ascii="ＭＳ 明朝" w:hAnsi="ＭＳ 明朝" w:hint="eastAsia"/>
                <w:szCs w:val="21"/>
              </w:rPr>
              <w:t>自己申告制により始業・終業時刻の確認及び記録を行う場合の措置</w:t>
            </w:r>
          </w:p>
          <w:p w:rsidR="00812C15" w:rsidRDefault="00812C15">
            <w:pPr>
              <w:ind w:leftChars="200" w:left="420" w:firstLineChars="100" w:firstLine="210"/>
              <w:rPr>
                <w:rFonts w:ascii="ＭＳ 明朝" w:hAnsi="ＭＳ 明朝" w:hint="eastAsia"/>
                <w:szCs w:val="21"/>
              </w:rPr>
            </w:pPr>
            <w:r>
              <w:rPr>
                <w:rFonts w:ascii="ＭＳ 明朝" w:hAnsi="ＭＳ 明朝" w:hint="eastAsia"/>
                <w:szCs w:val="21"/>
              </w:rPr>
              <w:t>２の方法によることなく、自己申告制により行わざるを得ない場合、使用者は次の措置を講ずること。</w:t>
            </w:r>
          </w:p>
          <w:p w:rsidR="00812C15" w:rsidRDefault="00812C15" w:rsidP="00856C68">
            <w:pPr>
              <w:numPr>
                <w:ilvl w:val="0"/>
                <w:numId w:val="4"/>
              </w:numPr>
              <w:tabs>
                <w:tab w:val="num" w:pos="601"/>
              </w:tabs>
              <w:ind w:left="601" w:hanging="425"/>
              <w:rPr>
                <w:rFonts w:ascii="ＭＳ 明朝" w:hAnsi="ＭＳ 明朝" w:hint="eastAsia"/>
                <w:szCs w:val="21"/>
              </w:rPr>
            </w:pPr>
            <w:r>
              <w:rPr>
                <w:rFonts w:ascii="ＭＳ 明朝" w:hAnsi="ＭＳ 明朝" w:hint="eastAsia"/>
                <w:szCs w:val="21"/>
              </w:rPr>
              <w:t>自己申告制を導入する前に、その対象となる労働者に対して、労働時間の実態を正しく記録し、適正に自己申告を行うことなどについて十分な説明を行うこと。</w:t>
            </w:r>
          </w:p>
          <w:p w:rsidR="00812C15" w:rsidRDefault="00812C15" w:rsidP="00856C68">
            <w:pPr>
              <w:numPr>
                <w:ilvl w:val="0"/>
                <w:numId w:val="4"/>
              </w:numPr>
              <w:tabs>
                <w:tab w:val="num" w:pos="601"/>
              </w:tabs>
              <w:ind w:left="601" w:hanging="425"/>
              <w:rPr>
                <w:rFonts w:ascii="ＭＳ 明朝" w:hAnsi="ＭＳ 明朝" w:hint="eastAsia"/>
                <w:szCs w:val="21"/>
              </w:rPr>
            </w:pPr>
            <w:r>
              <w:rPr>
                <w:rFonts w:ascii="ＭＳ 明朝" w:hAnsi="ＭＳ 明朝" w:hint="eastAsia"/>
                <w:szCs w:val="21"/>
              </w:rPr>
              <w:t>自己申告により把握した労働時間が実際の労働時間と合致しているか否かについて、必要に応じて実態調査を実施すること。</w:t>
            </w:r>
          </w:p>
          <w:p w:rsidR="00812C15" w:rsidRDefault="00812C15" w:rsidP="00856C68">
            <w:pPr>
              <w:numPr>
                <w:ilvl w:val="0"/>
                <w:numId w:val="4"/>
              </w:numPr>
              <w:tabs>
                <w:tab w:val="num" w:pos="601"/>
              </w:tabs>
              <w:ind w:left="601" w:hanging="425"/>
              <w:rPr>
                <w:rFonts w:ascii="ＭＳ 明朝" w:hAnsi="ＭＳ 明朝" w:hint="eastAsia"/>
                <w:szCs w:val="21"/>
              </w:rPr>
            </w:pPr>
            <w:r>
              <w:rPr>
                <w:rFonts w:ascii="ＭＳ 明朝" w:hAnsi="ＭＳ 明朝" w:hint="eastAsia"/>
                <w:szCs w:val="21"/>
              </w:rPr>
              <w:t>労働者の労働時間の適正な申告を阻害する目的で時間外労働時間数の上限を設定するなどの措置を講じないこと。また、時間外労働時間の削減のための、社内通達や時間外労働手当の定額払等労働時間に係る事業場の措置が、労働者の労働時間の適正な申告を阻害する要因となっていないかについて確認するとともに、当該要因となっている場合においては、改善のための措置を講ずること。</w:t>
            </w:r>
          </w:p>
          <w:p w:rsidR="00812C15" w:rsidRDefault="00812C15" w:rsidP="00856C68">
            <w:pPr>
              <w:pStyle w:val="a3"/>
              <w:numPr>
                <w:ilvl w:val="0"/>
                <w:numId w:val="2"/>
              </w:numPr>
              <w:ind w:leftChars="0"/>
              <w:rPr>
                <w:rFonts w:ascii="ＭＳ 明朝" w:hAnsi="ＭＳ 明朝" w:hint="eastAsia"/>
                <w:szCs w:val="21"/>
              </w:rPr>
            </w:pPr>
            <w:r>
              <w:rPr>
                <w:rFonts w:ascii="ＭＳ 明朝" w:hAnsi="ＭＳ 明朝" w:hint="eastAsia"/>
                <w:szCs w:val="21"/>
              </w:rPr>
              <w:t>労働時間の記録に関する書類の保存</w:t>
            </w:r>
          </w:p>
          <w:p w:rsidR="00812C15" w:rsidRDefault="00812C15">
            <w:pPr>
              <w:ind w:leftChars="200" w:left="420" w:firstLineChars="100" w:firstLine="210"/>
              <w:rPr>
                <w:rFonts w:ascii="ＭＳ 明朝" w:hAnsi="ＭＳ 明朝"/>
                <w:szCs w:val="21"/>
              </w:rPr>
            </w:pPr>
            <w:r>
              <w:rPr>
                <w:rFonts w:ascii="ＭＳ 明朝" w:hAnsi="ＭＳ 明朝" w:hint="eastAsia"/>
                <w:szCs w:val="21"/>
              </w:rPr>
              <w:t>労働時間の記録に関する書類について、労働基準法第１０９条に基づき３年間保存すること。</w:t>
            </w:r>
          </w:p>
        </w:tc>
      </w:tr>
    </w:tbl>
    <w:p w:rsidR="00812C15" w:rsidRDefault="00812C15" w:rsidP="00812C15">
      <w:pPr>
        <w:ind w:firstLineChars="100" w:firstLine="210"/>
        <w:rPr>
          <w:rFonts w:ascii="ＭＳ 明朝" w:hAnsi="ＭＳ 明朝" w:hint="eastAsia"/>
          <w:szCs w:val="21"/>
        </w:rPr>
      </w:pPr>
    </w:p>
    <w:p w:rsidR="00812C15" w:rsidRDefault="00812C15" w:rsidP="00812C15">
      <w:pPr>
        <w:ind w:firstLineChars="100" w:firstLine="210"/>
        <w:rPr>
          <w:rFonts w:ascii="ＭＳ 明朝" w:hAnsi="ＭＳ 明朝" w:hint="eastAsia"/>
          <w:szCs w:val="21"/>
        </w:rPr>
      </w:pPr>
    </w:p>
    <w:p w:rsidR="00812C15" w:rsidRDefault="00812C15" w:rsidP="00812C15">
      <w:pPr>
        <w:ind w:firstLineChars="100" w:firstLine="210"/>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812C15" w:rsidTr="00812C15">
        <w:tc>
          <w:tcPr>
            <w:tcW w:w="8458" w:type="dxa"/>
            <w:tcBorders>
              <w:top w:val="single" w:sz="4" w:space="0" w:color="000000"/>
              <w:left w:val="single" w:sz="4" w:space="0" w:color="000000"/>
              <w:bottom w:val="single" w:sz="4" w:space="0" w:color="000000"/>
              <w:right w:val="single" w:sz="4" w:space="0" w:color="000000"/>
            </w:tcBorders>
            <w:hideMark/>
          </w:tcPr>
          <w:p w:rsidR="00812C15" w:rsidRDefault="00812C15">
            <w:pPr>
              <w:rPr>
                <w:rFonts w:ascii="ＭＳ 明朝" w:hAnsi="ＭＳ 明朝"/>
                <w:b/>
                <w:szCs w:val="21"/>
              </w:rPr>
            </w:pPr>
            <w:r>
              <w:rPr>
                <w:rFonts w:ascii="ＭＳ 明朝" w:hAnsi="ＭＳ 明朝" w:hint="eastAsia"/>
                <w:b/>
                <w:szCs w:val="21"/>
                <w:lang w:eastAsia="zh-CN"/>
              </w:rPr>
              <w:t>（遅刻、早退、欠勤等）</w:t>
            </w:r>
          </w:p>
          <w:p w:rsidR="00812C15" w:rsidRDefault="00812C15">
            <w:pPr>
              <w:ind w:left="211" w:hangingChars="100" w:hanging="211"/>
              <w:rPr>
                <w:rFonts w:ascii="ＭＳ 明朝" w:hAnsi="ＭＳ 明朝" w:hint="eastAsia"/>
                <w:szCs w:val="21"/>
              </w:rPr>
            </w:pPr>
            <w:r>
              <w:rPr>
                <w:rFonts w:ascii="ＭＳ 明朝" w:hAnsi="ＭＳ 明朝" w:hint="eastAsia"/>
                <w:b/>
                <w:szCs w:val="21"/>
                <w:lang w:eastAsia="zh-CN"/>
              </w:rPr>
              <w:t>第</w:t>
            </w:r>
            <w:r>
              <w:rPr>
                <w:rFonts w:ascii="ＭＳ 明朝" w:hAnsi="ＭＳ 明朝" w:hint="eastAsia"/>
                <w:b/>
                <w:szCs w:val="21"/>
              </w:rPr>
              <w:t>１６</w:t>
            </w:r>
            <w:r>
              <w:rPr>
                <w:rFonts w:ascii="ＭＳ 明朝" w:hAnsi="ＭＳ 明朝" w:hint="eastAsia"/>
                <w:b/>
                <w:szCs w:val="21"/>
                <w:lang w:eastAsia="zh-CN"/>
              </w:rPr>
              <w:t>条</w:t>
            </w:r>
            <w:r>
              <w:rPr>
                <w:rFonts w:ascii="ＭＳ 明朝" w:hAnsi="ＭＳ 明朝" w:hint="eastAsia"/>
                <w:b/>
                <w:szCs w:val="21"/>
              </w:rPr>
              <w:t xml:space="preserve">　</w:t>
            </w:r>
            <w:r>
              <w:rPr>
                <w:rFonts w:ascii="ＭＳ 明朝" w:hAnsi="ＭＳ 明朝" w:hint="eastAsia"/>
                <w:szCs w:val="21"/>
              </w:rPr>
              <w:t>労働者は遅刻、早退若しくは欠勤をし、又は勤務時間中に私用で事業場から外出する際は、事前に</w:t>
            </w:r>
            <w:r>
              <w:rPr>
                <w:rFonts w:ascii="ＭＳ 明朝" w:hAnsi="ＭＳ 明朝" w:hint="eastAsia"/>
                <w:szCs w:val="21"/>
                <w:u w:val="single"/>
              </w:rPr>
              <w:t xml:space="preserve">　　　　</w:t>
            </w:r>
            <w:r>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812C15" w:rsidRDefault="00812C15">
            <w:pPr>
              <w:ind w:left="210" w:hangingChars="100" w:hanging="210"/>
              <w:rPr>
                <w:rFonts w:ascii="ＭＳ 明朝" w:hAnsi="ＭＳ 明朝" w:hint="eastAsia"/>
                <w:szCs w:val="21"/>
              </w:rPr>
            </w:pPr>
            <w:r>
              <w:rPr>
                <w:rFonts w:ascii="ＭＳ 明朝" w:hAnsi="ＭＳ 明朝" w:hint="eastAsia"/>
                <w:szCs w:val="21"/>
              </w:rPr>
              <w:t>２　前項の場合は、第３９条に定めるところにより、原則として不就労分に対応する賃</w:t>
            </w:r>
            <w:r>
              <w:rPr>
                <w:rFonts w:ascii="ＭＳ 明朝" w:hAnsi="ＭＳ 明朝" w:hint="eastAsia"/>
                <w:szCs w:val="21"/>
              </w:rPr>
              <w:lastRenderedPageBreak/>
              <w:t>金は控除する。</w:t>
            </w:r>
          </w:p>
          <w:p w:rsidR="00812C15" w:rsidRDefault="00812C15">
            <w:pPr>
              <w:ind w:left="210" w:hangingChars="100" w:hanging="210"/>
              <w:rPr>
                <w:rFonts w:ascii="ＭＳ 明朝" w:hAnsi="ＭＳ 明朝"/>
                <w:szCs w:val="21"/>
              </w:rPr>
            </w:pPr>
            <w:r>
              <w:rPr>
                <w:rFonts w:ascii="ＭＳ 明朝" w:hAnsi="ＭＳ 明朝" w:hint="eastAsia"/>
                <w:szCs w:val="21"/>
              </w:rPr>
              <w:t>３　傷病のため継続して</w:t>
            </w:r>
            <w:r>
              <w:rPr>
                <w:rFonts w:ascii="ＭＳ 明朝" w:hAnsi="ＭＳ 明朝" w:hint="eastAsia"/>
                <w:szCs w:val="21"/>
                <w:u w:val="single"/>
              </w:rPr>
              <w:t xml:space="preserve">　　</w:t>
            </w:r>
            <w:r>
              <w:rPr>
                <w:rFonts w:ascii="ＭＳ 明朝" w:hAnsi="ＭＳ 明朝" w:hint="eastAsia"/>
                <w:szCs w:val="21"/>
              </w:rPr>
              <w:t>日以上欠勤するときは、医師の診断書を提出しなければならない。</w:t>
            </w:r>
          </w:p>
        </w:tc>
      </w:tr>
    </w:tbl>
    <w:p w:rsidR="00812C15" w:rsidRDefault="00812C15" w:rsidP="00812C15">
      <w:pPr>
        <w:rPr>
          <w:rFonts w:ascii="ＭＳ 明朝" w:hAnsi="ＭＳ 明朝" w:hint="eastAsia"/>
          <w:szCs w:val="21"/>
        </w:rPr>
      </w:pPr>
    </w:p>
    <w:p w:rsidR="00812C15" w:rsidRDefault="00812C15" w:rsidP="00812C15">
      <w:pPr>
        <w:rPr>
          <w:rFonts w:ascii="ＭＳ 明朝" w:hAnsi="ＭＳ 明朝" w:hint="eastAsia"/>
          <w:b/>
          <w:szCs w:val="21"/>
        </w:rPr>
      </w:pPr>
      <w:r>
        <w:rPr>
          <w:rFonts w:ascii="ＭＳ 明朝" w:hAnsi="ＭＳ 明朝" w:hint="eastAsia"/>
          <w:b/>
          <w:szCs w:val="21"/>
        </w:rPr>
        <w:t xml:space="preserve">【第１６条　</w:t>
      </w:r>
      <w:r>
        <w:rPr>
          <w:rFonts w:ascii="ＭＳ 明朝" w:hAnsi="ＭＳ 明朝" w:hint="eastAsia"/>
          <w:b/>
          <w:szCs w:val="21"/>
          <w:lang w:eastAsia="zh-CN"/>
        </w:rPr>
        <w:t>遅刻、早退、欠勤等</w:t>
      </w:r>
      <w:r>
        <w:rPr>
          <w:rFonts w:ascii="ＭＳ 明朝" w:hAnsi="ＭＳ 明朝" w:hint="eastAsia"/>
          <w:b/>
          <w:szCs w:val="21"/>
        </w:rPr>
        <w:t>】</w:t>
      </w:r>
    </w:p>
    <w:p w:rsidR="00812C15" w:rsidRDefault="00812C15" w:rsidP="00812C15">
      <w:pPr>
        <w:ind w:left="210" w:hangingChars="100" w:hanging="210"/>
        <w:rPr>
          <w:rFonts w:ascii="ＭＳ 明朝" w:hAnsi="ＭＳ 明朝" w:hint="eastAsia"/>
          <w:szCs w:val="21"/>
        </w:rPr>
      </w:pPr>
      <w:r>
        <w:rPr>
          <w:rFonts w:ascii="ＭＳ 明朝" w:hAnsi="ＭＳ 明朝" w:hint="eastAsia"/>
          <w:szCs w:val="21"/>
        </w:rPr>
        <w:t>１　本規程例では労働者が遅刻、早退若しくは欠勤等をする場合、事前の申出と会社の承認を得ることとしていますが、どのような手続を規定するかは各事業場で決めることです。しかし、こうした手続を取ることは会社の秩序を維持する上でも重要なこととなりますので、明確に定めてください。</w:t>
      </w:r>
    </w:p>
    <w:p w:rsidR="00812C15" w:rsidRDefault="00812C15" w:rsidP="00812C15">
      <w:pPr>
        <w:rPr>
          <w:rFonts w:ascii="ＭＳ 明朝" w:hAnsi="ＭＳ 明朝" w:hint="eastAsia"/>
          <w:szCs w:val="21"/>
        </w:rPr>
      </w:pPr>
      <w:r>
        <w:rPr>
          <w:rFonts w:ascii="ＭＳ 明朝" w:hAnsi="ＭＳ 明朝" w:hint="eastAsia"/>
          <w:szCs w:val="21"/>
        </w:rPr>
        <w:t>２　欠勤何日以上で医師の診断書を提出させるかは、各事業場で決めることです。</w:t>
      </w:r>
    </w:p>
    <w:p w:rsidR="00D806E9" w:rsidRPr="00812C15" w:rsidRDefault="00D806E9"/>
    <w:sectPr w:rsidR="00D806E9" w:rsidRPr="00812C1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15" w:rsidRDefault="00812C15" w:rsidP="00812C15">
      <w:r>
        <w:separator/>
      </w:r>
    </w:p>
  </w:endnote>
  <w:endnote w:type="continuationSeparator" w:id="0">
    <w:p w:rsidR="00812C15" w:rsidRDefault="00812C15" w:rsidP="008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15" w:rsidRDefault="00812C15" w:rsidP="00812C15">
      <w:r>
        <w:separator/>
      </w:r>
    </w:p>
  </w:footnote>
  <w:footnote w:type="continuationSeparator" w:id="0">
    <w:p w:rsidR="00812C15" w:rsidRDefault="00812C15" w:rsidP="0081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4"/>
    </w:pPr>
    <w:r>
      <w:rPr>
        <w:rFonts w:hint="eastAsia"/>
      </w:rPr>
      <w:t>［</w:t>
    </w:r>
    <w:r>
      <w:rPr>
        <w:rFonts w:hint="eastAsia"/>
      </w:rPr>
      <w:t>厚生労働省モデル就業規則］より</w:t>
    </w:r>
    <w:bookmarkStart w:id="0" w:name="_GoBack"/>
    <w:bookmarkEnd w:id="0"/>
  </w:p>
  <w:p w:rsidR="00812C15" w:rsidRDefault="00812C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5" w:rsidRDefault="00812C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7D5"/>
    <w:multiLevelType w:val="hybridMultilevel"/>
    <w:tmpl w:val="264ED01C"/>
    <w:lvl w:ilvl="0" w:tplc="96362252">
      <w:start w:val="1"/>
      <w:numFmt w:val="decimalFullWidth"/>
      <w:lvlText w:val="%1．"/>
      <w:lvlJc w:val="left"/>
      <w:pPr>
        <w:tabs>
          <w:tab w:val="num" w:pos="636"/>
        </w:tabs>
        <w:ind w:left="636" w:hanging="420"/>
      </w:pPr>
    </w:lvl>
    <w:lvl w:ilvl="1" w:tplc="04090017">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1">
    <w:nsid w:val="204662CE"/>
    <w:multiLevelType w:val="hybridMultilevel"/>
    <w:tmpl w:val="56068ED8"/>
    <w:lvl w:ilvl="0" w:tplc="E9A027E8">
      <w:start w:val="1"/>
      <w:numFmt w:val="decimalEnclosedCircle"/>
      <w:lvlText w:val="%1"/>
      <w:lvlJc w:val="left"/>
      <w:pPr>
        <w:tabs>
          <w:tab w:val="num" w:pos="636"/>
        </w:tabs>
        <w:ind w:left="636" w:hanging="420"/>
      </w:pPr>
    </w:lvl>
    <w:lvl w:ilvl="1" w:tplc="04090017">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2">
    <w:nsid w:val="2D3D3706"/>
    <w:multiLevelType w:val="hybridMultilevel"/>
    <w:tmpl w:val="4EEC1B82"/>
    <w:lvl w:ilvl="0" w:tplc="33ACD712">
      <w:start w:val="1"/>
      <w:numFmt w:val="aiueoFullWidth"/>
      <w:lvlText w:val="（%1）"/>
      <w:lvlJc w:val="left"/>
      <w:pPr>
        <w:tabs>
          <w:tab w:val="num" w:pos="1356"/>
        </w:tabs>
        <w:ind w:left="1356" w:hanging="720"/>
      </w:pPr>
    </w:lvl>
    <w:lvl w:ilvl="1" w:tplc="82405FC6">
      <w:start w:val="17"/>
      <w:numFmt w:val="decimal"/>
      <w:lvlText w:val="第%2条"/>
      <w:lvlJc w:val="left"/>
      <w:pPr>
        <w:tabs>
          <w:tab w:val="num" w:pos="2016"/>
        </w:tabs>
        <w:ind w:left="2016" w:hanging="960"/>
      </w:p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lvl>
    <w:lvl w:ilvl="4" w:tplc="04090017">
      <w:start w:val="1"/>
      <w:numFmt w:val="aiueoFullWidth"/>
      <w:lvlText w:val="(%5)"/>
      <w:lvlJc w:val="left"/>
      <w:pPr>
        <w:tabs>
          <w:tab w:val="num" w:pos="2736"/>
        </w:tabs>
        <w:ind w:left="2736" w:hanging="420"/>
      </w:pPr>
    </w:lvl>
    <w:lvl w:ilvl="5" w:tplc="04090011">
      <w:start w:val="1"/>
      <w:numFmt w:val="decimalEnclosedCircle"/>
      <w:lvlText w:val="%6"/>
      <w:lvlJc w:val="left"/>
      <w:pPr>
        <w:tabs>
          <w:tab w:val="num" w:pos="3156"/>
        </w:tabs>
        <w:ind w:left="3156" w:hanging="420"/>
      </w:pPr>
    </w:lvl>
    <w:lvl w:ilvl="6" w:tplc="0409000F">
      <w:start w:val="1"/>
      <w:numFmt w:val="decimal"/>
      <w:lvlText w:val="%7."/>
      <w:lvlJc w:val="left"/>
      <w:pPr>
        <w:tabs>
          <w:tab w:val="num" w:pos="3576"/>
        </w:tabs>
        <w:ind w:left="3576" w:hanging="420"/>
      </w:pPr>
    </w:lvl>
    <w:lvl w:ilvl="7" w:tplc="04090017">
      <w:start w:val="1"/>
      <w:numFmt w:val="aiueoFullWidth"/>
      <w:lvlText w:val="(%8)"/>
      <w:lvlJc w:val="left"/>
      <w:pPr>
        <w:tabs>
          <w:tab w:val="num" w:pos="3996"/>
        </w:tabs>
        <w:ind w:left="3996" w:hanging="420"/>
      </w:pPr>
    </w:lvl>
    <w:lvl w:ilvl="8" w:tplc="04090011">
      <w:start w:val="1"/>
      <w:numFmt w:val="decimalEnclosedCircle"/>
      <w:lvlText w:val="%9"/>
      <w:lvlJc w:val="left"/>
      <w:pPr>
        <w:tabs>
          <w:tab w:val="num" w:pos="4416"/>
        </w:tabs>
        <w:ind w:left="4416" w:hanging="420"/>
      </w:pPr>
    </w:lvl>
  </w:abstractNum>
  <w:abstractNum w:abstractNumId="3">
    <w:nsid w:val="5A06722C"/>
    <w:multiLevelType w:val="hybridMultilevel"/>
    <w:tmpl w:val="A822A64E"/>
    <w:lvl w:ilvl="0" w:tplc="EF2287DA">
      <w:start w:val="1"/>
      <w:numFmt w:val="aiueoFullWidth"/>
      <w:lvlText w:val="（%1）"/>
      <w:lvlJc w:val="left"/>
      <w:pPr>
        <w:tabs>
          <w:tab w:val="num" w:pos="1356"/>
        </w:tabs>
        <w:ind w:left="1356" w:hanging="720"/>
      </w:p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start w:val="1"/>
      <w:numFmt w:val="aiueoFullWidth"/>
      <w:lvlText w:val="(%5)"/>
      <w:lvlJc w:val="left"/>
      <w:pPr>
        <w:tabs>
          <w:tab w:val="num" w:pos="2736"/>
        </w:tabs>
        <w:ind w:left="2736" w:hanging="420"/>
      </w:pPr>
    </w:lvl>
    <w:lvl w:ilvl="5" w:tplc="04090011">
      <w:start w:val="1"/>
      <w:numFmt w:val="decimalEnclosedCircle"/>
      <w:lvlText w:val="%6"/>
      <w:lvlJc w:val="left"/>
      <w:pPr>
        <w:tabs>
          <w:tab w:val="num" w:pos="3156"/>
        </w:tabs>
        <w:ind w:left="3156" w:hanging="420"/>
      </w:pPr>
    </w:lvl>
    <w:lvl w:ilvl="6" w:tplc="0409000F">
      <w:start w:val="1"/>
      <w:numFmt w:val="decimal"/>
      <w:lvlText w:val="%7."/>
      <w:lvlJc w:val="left"/>
      <w:pPr>
        <w:tabs>
          <w:tab w:val="num" w:pos="3576"/>
        </w:tabs>
        <w:ind w:left="3576" w:hanging="420"/>
      </w:pPr>
    </w:lvl>
    <w:lvl w:ilvl="7" w:tplc="04090017">
      <w:start w:val="1"/>
      <w:numFmt w:val="aiueoFullWidth"/>
      <w:lvlText w:val="(%8)"/>
      <w:lvlJc w:val="left"/>
      <w:pPr>
        <w:tabs>
          <w:tab w:val="num" w:pos="3996"/>
        </w:tabs>
        <w:ind w:left="3996" w:hanging="420"/>
      </w:pPr>
    </w:lvl>
    <w:lvl w:ilvl="8" w:tplc="04090011">
      <w:start w:val="1"/>
      <w:numFmt w:val="decimalEnclosedCircle"/>
      <w:lvlText w:val="%9"/>
      <w:lvlJc w:val="left"/>
      <w:pPr>
        <w:tabs>
          <w:tab w:val="num" w:pos="4416"/>
        </w:tabs>
        <w:ind w:left="441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7"/>
    </w:lvlOverride>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15"/>
    <w:rsid w:val="00812C15"/>
    <w:rsid w:val="00D8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C15"/>
    <w:pPr>
      <w:ind w:leftChars="400" w:left="840"/>
    </w:pPr>
  </w:style>
  <w:style w:type="paragraph" w:styleId="a4">
    <w:name w:val="header"/>
    <w:basedOn w:val="a"/>
    <w:link w:val="a5"/>
    <w:uiPriority w:val="99"/>
    <w:unhideWhenUsed/>
    <w:rsid w:val="00812C15"/>
    <w:pPr>
      <w:tabs>
        <w:tab w:val="center" w:pos="4252"/>
        <w:tab w:val="right" w:pos="8504"/>
      </w:tabs>
      <w:snapToGrid w:val="0"/>
    </w:pPr>
  </w:style>
  <w:style w:type="character" w:customStyle="1" w:styleId="a5">
    <w:name w:val="ヘッダー (文字)"/>
    <w:basedOn w:val="a0"/>
    <w:link w:val="a4"/>
    <w:uiPriority w:val="99"/>
    <w:rsid w:val="00812C15"/>
    <w:rPr>
      <w:rFonts w:ascii="Century" w:eastAsia="ＭＳ 明朝" w:hAnsi="Century" w:cs="Times New Roman"/>
      <w:szCs w:val="24"/>
    </w:rPr>
  </w:style>
  <w:style w:type="paragraph" w:styleId="a6">
    <w:name w:val="footer"/>
    <w:basedOn w:val="a"/>
    <w:link w:val="a7"/>
    <w:uiPriority w:val="99"/>
    <w:unhideWhenUsed/>
    <w:rsid w:val="00812C15"/>
    <w:pPr>
      <w:tabs>
        <w:tab w:val="center" w:pos="4252"/>
        <w:tab w:val="right" w:pos="8504"/>
      </w:tabs>
      <w:snapToGrid w:val="0"/>
    </w:pPr>
  </w:style>
  <w:style w:type="character" w:customStyle="1" w:styleId="a7">
    <w:name w:val="フッター (文字)"/>
    <w:basedOn w:val="a0"/>
    <w:link w:val="a6"/>
    <w:uiPriority w:val="99"/>
    <w:rsid w:val="00812C15"/>
    <w:rPr>
      <w:rFonts w:ascii="Century" w:eastAsia="ＭＳ 明朝" w:hAnsi="Century" w:cs="Times New Roman"/>
      <w:szCs w:val="24"/>
    </w:rPr>
  </w:style>
  <w:style w:type="paragraph" w:styleId="a8">
    <w:name w:val="Balloon Text"/>
    <w:basedOn w:val="a"/>
    <w:link w:val="a9"/>
    <w:uiPriority w:val="99"/>
    <w:semiHidden/>
    <w:unhideWhenUsed/>
    <w:rsid w:val="00812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C15"/>
    <w:pPr>
      <w:ind w:leftChars="400" w:left="840"/>
    </w:pPr>
  </w:style>
  <w:style w:type="paragraph" w:styleId="a4">
    <w:name w:val="header"/>
    <w:basedOn w:val="a"/>
    <w:link w:val="a5"/>
    <w:uiPriority w:val="99"/>
    <w:unhideWhenUsed/>
    <w:rsid w:val="00812C15"/>
    <w:pPr>
      <w:tabs>
        <w:tab w:val="center" w:pos="4252"/>
        <w:tab w:val="right" w:pos="8504"/>
      </w:tabs>
      <w:snapToGrid w:val="0"/>
    </w:pPr>
  </w:style>
  <w:style w:type="character" w:customStyle="1" w:styleId="a5">
    <w:name w:val="ヘッダー (文字)"/>
    <w:basedOn w:val="a0"/>
    <w:link w:val="a4"/>
    <w:uiPriority w:val="99"/>
    <w:rsid w:val="00812C15"/>
    <w:rPr>
      <w:rFonts w:ascii="Century" w:eastAsia="ＭＳ 明朝" w:hAnsi="Century" w:cs="Times New Roman"/>
      <w:szCs w:val="24"/>
    </w:rPr>
  </w:style>
  <w:style w:type="paragraph" w:styleId="a6">
    <w:name w:val="footer"/>
    <w:basedOn w:val="a"/>
    <w:link w:val="a7"/>
    <w:uiPriority w:val="99"/>
    <w:unhideWhenUsed/>
    <w:rsid w:val="00812C15"/>
    <w:pPr>
      <w:tabs>
        <w:tab w:val="center" w:pos="4252"/>
        <w:tab w:val="right" w:pos="8504"/>
      </w:tabs>
      <w:snapToGrid w:val="0"/>
    </w:pPr>
  </w:style>
  <w:style w:type="character" w:customStyle="1" w:styleId="a7">
    <w:name w:val="フッター (文字)"/>
    <w:basedOn w:val="a0"/>
    <w:link w:val="a6"/>
    <w:uiPriority w:val="99"/>
    <w:rsid w:val="00812C15"/>
    <w:rPr>
      <w:rFonts w:ascii="Century" w:eastAsia="ＭＳ 明朝" w:hAnsi="Century" w:cs="Times New Roman"/>
      <w:szCs w:val="24"/>
    </w:rPr>
  </w:style>
  <w:style w:type="paragraph" w:styleId="a8">
    <w:name w:val="Balloon Text"/>
    <w:basedOn w:val="a"/>
    <w:link w:val="a9"/>
    <w:uiPriority w:val="99"/>
    <w:semiHidden/>
    <w:unhideWhenUsed/>
    <w:rsid w:val="00812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cp:revision>
  <dcterms:created xsi:type="dcterms:W3CDTF">2015-01-04T08:01:00Z</dcterms:created>
  <dcterms:modified xsi:type="dcterms:W3CDTF">2015-01-04T08:03:00Z</dcterms:modified>
</cp:coreProperties>
</file>